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8DCC81" w14:textId="7C2B63BE" w:rsidR="000E001A" w:rsidRDefault="000E001A" w:rsidP="000E001A">
      <w:pPr>
        <w:pStyle w:val="Header"/>
        <w:ind w:firstLine="0"/>
      </w:pPr>
      <w:r w:rsidRPr="000E001A">
        <w:rPr>
          <w:sz w:val="24"/>
          <w:szCs w:val="24"/>
        </w:rPr>
        <w:t>Teaching Note – Same-Day Delivery</w:t>
      </w:r>
    </w:p>
    <w:p w14:paraId="79636D10" w14:textId="073287BB" w:rsidR="006E087A" w:rsidRDefault="006E087A" w:rsidP="006E087A">
      <w:pPr>
        <w:pStyle w:val="CaseTitle"/>
      </w:pPr>
      <w:r w:rsidRPr="00436724">
        <w:t>T</w:t>
      </w:r>
      <w:r>
        <w:t xml:space="preserve">he Future of Same-Day Delivery: </w:t>
      </w:r>
      <w:r w:rsidRPr="004B50D8">
        <w:t>Same as the Past?</w:t>
      </w:r>
    </w:p>
    <w:p w14:paraId="765BEEE7" w14:textId="77777777" w:rsidR="006E087A" w:rsidRDefault="006E087A" w:rsidP="006E087A">
      <w:pPr>
        <w:pStyle w:val="Heading2"/>
      </w:pPr>
      <w:r>
        <w:t>Case Synopsis</w:t>
      </w:r>
    </w:p>
    <w:p w14:paraId="3FE909EE" w14:textId="77777777" w:rsidR="006E087A" w:rsidRDefault="006E087A" w:rsidP="006E087A">
      <w:r>
        <w:t>In 2012</w:t>
      </w:r>
      <w:r w:rsidR="00BB7D56">
        <w:t>,</w:t>
      </w:r>
      <w:r>
        <w:t xml:space="preserve"> several retailers, including Amazon and Walmart, experimented with same-day delivery. Home delivery of pizzas had been a very successful model in the United States and had been copied all over the world. In contrast, home delivery attempts by companies </w:t>
      </w:r>
      <w:r w:rsidR="00BB7D56">
        <w:t xml:space="preserve">such as </w:t>
      </w:r>
      <w:r>
        <w:t>Kozmo and Urbanfetch had failed and both companies went bankrupt. The goal of this case is to build a framework that helps students identify the factors that influence the success or failure of home delivery models.</w:t>
      </w:r>
    </w:p>
    <w:p w14:paraId="6A2ECC98" w14:textId="77777777" w:rsidR="006E087A" w:rsidRDefault="006E087A" w:rsidP="006E087A">
      <w:pPr>
        <w:pStyle w:val="Heading2"/>
      </w:pPr>
      <w:r>
        <w:t>Learning Objectives</w:t>
      </w:r>
    </w:p>
    <w:p w14:paraId="206BDAF5" w14:textId="77777777" w:rsidR="006E087A" w:rsidRDefault="006E087A" w:rsidP="006E087A">
      <w:r>
        <w:t>After analyzing and discussing the case, students should be able to:</w:t>
      </w:r>
    </w:p>
    <w:p w14:paraId="64BBA685" w14:textId="77777777" w:rsidR="006E087A" w:rsidRDefault="006E087A" w:rsidP="006E087A">
      <w:pPr>
        <w:pStyle w:val="BulletPoints"/>
      </w:pPr>
      <w:r>
        <w:t>Build a basic framework identifying supply chain drivers that are influenced by a firm’s decision to offer same-day home delivery</w:t>
      </w:r>
      <w:r w:rsidR="006E4138">
        <w:t>.</w:t>
      </w:r>
    </w:p>
    <w:p w14:paraId="0DF01B07" w14:textId="77777777" w:rsidR="006E087A" w:rsidRDefault="006E087A" w:rsidP="006E087A">
      <w:pPr>
        <w:pStyle w:val="BulletPoints"/>
      </w:pPr>
      <w:r>
        <w:t>Understand the tradeoffs that influence the success of a same-day home delivery model</w:t>
      </w:r>
      <w:r w:rsidR="001174B1">
        <w:t>.</w:t>
      </w:r>
    </w:p>
    <w:p w14:paraId="4F49A5CC" w14:textId="77777777" w:rsidR="006E087A" w:rsidRDefault="006E087A" w:rsidP="006E087A">
      <w:pPr>
        <w:pStyle w:val="BulletPoints"/>
        <w:spacing w:after="240"/>
      </w:pPr>
      <w:r>
        <w:t>Identify qualitative factors to be considered when deciding between non-U.S. facility locations, including transportation time variability, consumer perceptions, and cultural differences</w:t>
      </w:r>
      <w:r w:rsidR="00763CE8">
        <w:t>.</w:t>
      </w:r>
    </w:p>
    <w:p w14:paraId="576A5D2C" w14:textId="77777777" w:rsidR="006E087A" w:rsidRDefault="006E087A" w:rsidP="006E087A">
      <w:pPr>
        <w:pStyle w:val="Heading2"/>
      </w:pPr>
      <w:r>
        <w:t>Suggested Uses</w:t>
      </w:r>
    </w:p>
    <w:p w14:paraId="26854790" w14:textId="77777777" w:rsidR="006E087A" w:rsidRDefault="006E087A" w:rsidP="006E087A">
      <w:r>
        <w:t>The case is appropriate for undergraduate, graduate, and executive education students. It will be effective in supply chain management courses and can be positioned after transportation.</w:t>
      </w:r>
    </w:p>
    <w:p w14:paraId="62172C56" w14:textId="77777777" w:rsidR="006E087A" w:rsidRDefault="006E087A" w:rsidP="006E087A">
      <w:pPr>
        <w:pStyle w:val="Heading2"/>
      </w:pPr>
      <w:r>
        <w:t>Discussion Questions/Student Assignment</w:t>
      </w:r>
    </w:p>
    <w:p w14:paraId="2E0CD4F5" w14:textId="77777777" w:rsidR="006E087A" w:rsidRDefault="006E087A" w:rsidP="006E087A">
      <w:pPr>
        <w:pStyle w:val="Numbering"/>
      </w:pPr>
      <w:r>
        <w:t>Develop a framework that can be used to analyze the success of same-day delivery. The framework should apply to all instances mentioned in the case.</w:t>
      </w:r>
    </w:p>
    <w:p w14:paraId="3D527C31" w14:textId="77777777" w:rsidR="006E087A" w:rsidRDefault="006E087A" w:rsidP="006E087A">
      <w:pPr>
        <w:pStyle w:val="Numbering"/>
      </w:pPr>
      <w:r>
        <w:t>What are the characteristics of businesses that can succeed with same-day delivery? Can Amazon, Walmart, eBay, or the U.S. Postal Service</w:t>
      </w:r>
      <w:r w:rsidRPr="00436724">
        <w:t xml:space="preserve"> </w:t>
      </w:r>
      <w:r>
        <w:t>succeed with same-day delivery? Who is likely to do better? Why?</w:t>
      </w:r>
    </w:p>
    <w:p w14:paraId="20733EB1" w14:textId="77777777" w:rsidR="006E087A" w:rsidRDefault="006E087A" w:rsidP="006E087A">
      <w:pPr>
        <w:pStyle w:val="Heading2"/>
      </w:pPr>
      <w:r>
        <w:t>Case Analysis</w:t>
      </w:r>
    </w:p>
    <w:p w14:paraId="0038CC72" w14:textId="77777777" w:rsidR="006E087A" w:rsidRPr="00D92A8F" w:rsidRDefault="006E087A" w:rsidP="00066827">
      <w:pPr>
        <w:pStyle w:val="Heading4"/>
        <w:rPr>
          <w:i w:val="0"/>
        </w:rPr>
      </w:pPr>
      <w:r w:rsidRPr="00D92A8F">
        <w:rPr>
          <w:i w:val="0"/>
        </w:rPr>
        <w:t xml:space="preserve">1. </w:t>
      </w:r>
      <w:r w:rsidR="00BD38CD" w:rsidRPr="00D92A8F">
        <w:rPr>
          <w:i w:val="0"/>
        </w:rPr>
        <w:t>Why has</w:t>
      </w:r>
      <w:r w:rsidRPr="00D92A8F">
        <w:rPr>
          <w:i w:val="0"/>
        </w:rPr>
        <w:t xml:space="preserve"> same-day delivery</w:t>
      </w:r>
      <w:r w:rsidR="00BD38CD" w:rsidRPr="00D92A8F">
        <w:rPr>
          <w:i w:val="0"/>
        </w:rPr>
        <w:t xml:space="preserve"> of pizza been successful</w:t>
      </w:r>
      <w:r w:rsidR="00066827" w:rsidRPr="00D92A8F">
        <w:rPr>
          <w:i w:val="0"/>
        </w:rPr>
        <w:t>,</w:t>
      </w:r>
      <w:r w:rsidR="00BD38CD" w:rsidRPr="00D92A8F">
        <w:rPr>
          <w:i w:val="0"/>
        </w:rPr>
        <w:t xml:space="preserve"> whereas the practice has failed in other settings</w:t>
      </w:r>
      <w:r w:rsidR="00066827" w:rsidRPr="00D92A8F">
        <w:rPr>
          <w:i w:val="0"/>
        </w:rPr>
        <w:t xml:space="preserve"> (e.g., Kozmo.com)</w:t>
      </w:r>
      <w:r w:rsidR="00BD38CD" w:rsidRPr="00D92A8F">
        <w:rPr>
          <w:i w:val="0"/>
        </w:rPr>
        <w:t>?</w:t>
      </w:r>
    </w:p>
    <w:p w14:paraId="1E07D11C" w14:textId="77777777" w:rsidR="006E087A" w:rsidRDefault="006E087A" w:rsidP="006E087A">
      <w:r>
        <w:t xml:space="preserve">It is useful to start with pizza delivery to understand the supply chain drivers that are influenced by home delivery. A pizza restaurant can offer three different ways to serve customers: sit-down dining, customer pickup, or home delivery. Key supply chain drivers and the impact of different service modes are shown in </w:t>
      </w:r>
      <w:r w:rsidRPr="000141F8">
        <w:rPr>
          <w:b/>
        </w:rPr>
        <w:t xml:space="preserve">Table </w:t>
      </w:r>
      <w:r>
        <w:rPr>
          <w:b/>
        </w:rPr>
        <w:t>TN</w:t>
      </w:r>
      <w:r w:rsidRPr="000141F8">
        <w:rPr>
          <w:b/>
        </w:rPr>
        <w:t>1</w:t>
      </w:r>
      <w:r>
        <w:t xml:space="preserve"> below.</w:t>
      </w:r>
    </w:p>
    <w:p w14:paraId="2CEDF2A5" w14:textId="77777777" w:rsidR="006E087A" w:rsidRDefault="006E087A" w:rsidP="006E087A">
      <w:pPr>
        <w:pStyle w:val="TableTitle"/>
      </w:pPr>
      <w:r>
        <w:lastRenderedPageBreak/>
        <w:t>Table TN1:</w:t>
      </w:r>
    </w:p>
    <w:tbl>
      <w:tblPr>
        <w:tblStyle w:val="TableGrid"/>
        <w:tblW w:w="8640" w:type="dxa"/>
        <w:tblInd w:w="142" w:type="dxa"/>
        <w:tblLook w:val="04A0" w:firstRow="1" w:lastRow="0" w:firstColumn="1" w:lastColumn="0" w:noHBand="0" w:noVBand="1"/>
      </w:tblPr>
      <w:tblGrid>
        <w:gridCol w:w="1323"/>
        <w:gridCol w:w="2439"/>
        <w:gridCol w:w="2439"/>
        <w:gridCol w:w="2439"/>
      </w:tblGrid>
      <w:tr w:rsidR="006E087A" w14:paraId="2A410095" w14:textId="77777777" w:rsidTr="0071595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23" w:type="dxa"/>
          </w:tcPr>
          <w:p w14:paraId="3F827324" w14:textId="77777777" w:rsidR="006E087A" w:rsidRPr="00A679C8" w:rsidRDefault="006E087A" w:rsidP="0071595E">
            <w:pPr>
              <w:pStyle w:val="TableBodyText"/>
            </w:pPr>
            <w:r w:rsidRPr="00A679C8">
              <w:t>Driver</w:t>
            </w:r>
          </w:p>
        </w:tc>
        <w:tc>
          <w:tcPr>
            <w:tcW w:w="2439" w:type="dxa"/>
          </w:tcPr>
          <w:p w14:paraId="0A8805B2" w14:textId="77777777" w:rsidR="006E087A" w:rsidRPr="00A679C8" w:rsidRDefault="006E087A" w:rsidP="0071595E">
            <w:pPr>
              <w:pStyle w:val="TableBodyText"/>
              <w:cnfStyle w:val="100000000000" w:firstRow="1" w:lastRow="0" w:firstColumn="0" w:lastColumn="0" w:oddVBand="0" w:evenVBand="0" w:oddHBand="0" w:evenHBand="0" w:firstRowFirstColumn="0" w:firstRowLastColumn="0" w:lastRowFirstColumn="0" w:lastRowLastColumn="0"/>
            </w:pPr>
            <w:r w:rsidRPr="00A679C8">
              <w:t>Sit</w:t>
            </w:r>
            <w:r>
              <w:t>-</w:t>
            </w:r>
            <w:r w:rsidRPr="00A679C8">
              <w:t>Down Dining</w:t>
            </w:r>
          </w:p>
        </w:tc>
        <w:tc>
          <w:tcPr>
            <w:tcW w:w="2439" w:type="dxa"/>
          </w:tcPr>
          <w:p w14:paraId="1F4F3A6F" w14:textId="77777777" w:rsidR="006E087A" w:rsidRPr="00A679C8" w:rsidRDefault="006E087A" w:rsidP="0071595E">
            <w:pPr>
              <w:pStyle w:val="TableBodyText"/>
              <w:cnfStyle w:val="100000000000" w:firstRow="1" w:lastRow="0" w:firstColumn="0" w:lastColumn="0" w:oddVBand="0" w:evenVBand="0" w:oddHBand="0" w:evenHBand="0" w:firstRowFirstColumn="0" w:firstRowLastColumn="0" w:lastRowFirstColumn="0" w:lastRowLastColumn="0"/>
            </w:pPr>
            <w:r w:rsidRPr="00A679C8">
              <w:t>Customer Pick</w:t>
            </w:r>
            <w:r>
              <w:t>u</w:t>
            </w:r>
            <w:r w:rsidRPr="00A679C8">
              <w:t>p</w:t>
            </w:r>
          </w:p>
        </w:tc>
        <w:tc>
          <w:tcPr>
            <w:tcW w:w="2439" w:type="dxa"/>
          </w:tcPr>
          <w:p w14:paraId="3D8173B7" w14:textId="77777777" w:rsidR="006E087A" w:rsidRPr="00A679C8" w:rsidRDefault="006E087A" w:rsidP="0071595E">
            <w:pPr>
              <w:pStyle w:val="TableBodyText"/>
              <w:cnfStyle w:val="100000000000" w:firstRow="1" w:lastRow="0" w:firstColumn="0" w:lastColumn="0" w:oddVBand="0" w:evenVBand="0" w:oddHBand="0" w:evenHBand="0" w:firstRowFirstColumn="0" w:firstRowLastColumn="0" w:lastRowFirstColumn="0" w:lastRowLastColumn="0"/>
            </w:pPr>
            <w:r w:rsidRPr="00A679C8">
              <w:t>Home Delivery</w:t>
            </w:r>
          </w:p>
        </w:tc>
      </w:tr>
      <w:tr w:rsidR="006E087A" w14:paraId="0D3113D4"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1AC02A73" w14:textId="77777777" w:rsidR="006E087A" w:rsidRDefault="006E087A" w:rsidP="0071595E">
            <w:pPr>
              <w:pStyle w:val="TableBodyText"/>
            </w:pPr>
            <w:r>
              <w:t>Service</w:t>
            </w:r>
          </w:p>
        </w:tc>
        <w:tc>
          <w:tcPr>
            <w:tcW w:w="2439" w:type="dxa"/>
            <w:vAlign w:val="top"/>
          </w:tcPr>
          <w:p w14:paraId="59293AD8"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Food served as soon as cooked but customers have to drive to restaurant</w:t>
            </w:r>
          </w:p>
        </w:tc>
        <w:tc>
          <w:tcPr>
            <w:tcW w:w="2439" w:type="dxa"/>
            <w:vAlign w:val="top"/>
          </w:tcPr>
          <w:p w14:paraId="1DC34BBC"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Driving similar to sit-down dining with service delay</w:t>
            </w:r>
          </w:p>
        </w:tc>
        <w:tc>
          <w:tcPr>
            <w:tcW w:w="2439" w:type="dxa"/>
            <w:vAlign w:val="top"/>
          </w:tcPr>
          <w:p w14:paraId="683D27E9"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 driving by customer but there is service delay</w:t>
            </w:r>
          </w:p>
        </w:tc>
      </w:tr>
      <w:tr w:rsidR="006E087A" w14:paraId="6F8D7C6C"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2ED25AFF" w14:textId="77777777" w:rsidR="006E087A" w:rsidRDefault="006E087A" w:rsidP="0071595E">
            <w:pPr>
              <w:pStyle w:val="TableBodyText"/>
            </w:pPr>
            <w:r>
              <w:t>Facilities</w:t>
            </w:r>
          </w:p>
        </w:tc>
        <w:tc>
          <w:tcPr>
            <w:tcW w:w="2439" w:type="dxa"/>
            <w:vAlign w:val="top"/>
          </w:tcPr>
          <w:p w14:paraId="56F9BE34"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Space requirement grows to handle customer seating</w:t>
            </w:r>
          </w:p>
        </w:tc>
        <w:tc>
          <w:tcPr>
            <w:tcW w:w="2439" w:type="dxa"/>
            <w:vAlign w:val="top"/>
          </w:tcPr>
          <w:p w14:paraId="4602BB5D"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Space requirement shrinks</w:t>
            </w:r>
          </w:p>
        </w:tc>
        <w:tc>
          <w:tcPr>
            <w:tcW w:w="2439" w:type="dxa"/>
            <w:vAlign w:val="top"/>
          </w:tcPr>
          <w:p w14:paraId="71DABCE4"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Space requirement shrinks</w:t>
            </w:r>
          </w:p>
        </w:tc>
      </w:tr>
      <w:tr w:rsidR="006E087A" w14:paraId="5CDD003F"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21EB3658" w14:textId="77777777" w:rsidR="006E087A" w:rsidRDefault="006E087A" w:rsidP="0071595E">
            <w:pPr>
              <w:pStyle w:val="TableBodyText"/>
            </w:pPr>
            <w:r>
              <w:t>Capacity</w:t>
            </w:r>
          </w:p>
        </w:tc>
        <w:tc>
          <w:tcPr>
            <w:tcW w:w="2439" w:type="dxa"/>
            <w:vAlign w:val="top"/>
          </w:tcPr>
          <w:p w14:paraId="5790923A"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“Level loading” by moving around orders is difficult</w:t>
            </w:r>
          </w:p>
        </w:tc>
        <w:tc>
          <w:tcPr>
            <w:tcW w:w="2439" w:type="dxa"/>
            <w:vAlign w:val="top"/>
          </w:tcPr>
          <w:p w14:paraId="6046A71E"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“Level loading” by moving around orders is easier</w:t>
            </w:r>
          </w:p>
        </w:tc>
        <w:tc>
          <w:tcPr>
            <w:tcW w:w="2439" w:type="dxa"/>
            <w:vAlign w:val="top"/>
          </w:tcPr>
          <w:p w14:paraId="118600E5"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“Level loading” by moving around orders is easiest</w:t>
            </w:r>
          </w:p>
        </w:tc>
      </w:tr>
      <w:tr w:rsidR="006E087A" w14:paraId="0D0F6FD6"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255F4D6D" w14:textId="77777777" w:rsidR="006E087A" w:rsidRDefault="006E087A" w:rsidP="0071595E">
            <w:pPr>
              <w:pStyle w:val="TableBodyText"/>
            </w:pPr>
            <w:r>
              <w:t>Inventory</w:t>
            </w:r>
          </w:p>
        </w:tc>
        <w:tc>
          <w:tcPr>
            <w:tcW w:w="2439" w:type="dxa"/>
            <w:vAlign w:val="top"/>
          </w:tcPr>
          <w:p w14:paraId="542A0E96"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“Build to order” model allows for postponement</w:t>
            </w:r>
          </w:p>
        </w:tc>
        <w:tc>
          <w:tcPr>
            <w:tcW w:w="2439" w:type="dxa"/>
            <w:vAlign w:val="top"/>
          </w:tcPr>
          <w:p w14:paraId="6C7E6EF9"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“Build to order” model allows for postponement</w:t>
            </w:r>
          </w:p>
        </w:tc>
        <w:tc>
          <w:tcPr>
            <w:tcW w:w="2439" w:type="dxa"/>
            <w:vAlign w:val="top"/>
          </w:tcPr>
          <w:p w14:paraId="49744888"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“Build to order” model allows for postponement</w:t>
            </w:r>
          </w:p>
        </w:tc>
      </w:tr>
      <w:tr w:rsidR="006E087A" w14:paraId="386B029D"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244223D5" w14:textId="77777777" w:rsidR="006E087A" w:rsidRDefault="006E087A" w:rsidP="0071595E">
            <w:pPr>
              <w:pStyle w:val="TableBodyText"/>
            </w:pPr>
            <w:r>
              <w:t>Transportation</w:t>
            </w:r>
          </w:p>
        </w:tc>
        <w:tc>
          <w:tcPr>
            <w:tcW w:w="2439" w:type="dxa"/>
            <w:vAlign w:val="top"/>
          </w:tcPr>
          <w:p w14:paraId="186579F9"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 outbound transportation cost</w:t>
            </w:r>
          </w:p>
        </w:tc>
        <w:tc>
          <w:tcPr>
            <w:tcW w:w="2439" w:type="dxa"/>
            <w:vAlign w:val="top"/>
          </w:tcPr>
          <w:p w14:paraId="080505E6"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 outbound transportation cost</w:t>
            </w:r>
          </w:p>
        </w:tc>
        <w:tc>
          <w:tcPr>
            <w:tcW w:w="2439" w:type="dxa"/>
            <w:vAlign w:val="top"/>
          </w:tcPr>
          <w:p w14:paraId="43C0041F"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Delivery cost is incurred by restaurant</w:t>
            </w:r>
          </w:p>
        </w:tc>
      </w:tr>
      <w:tr w:rsidR="006E087A" w14:paraId="034235B6"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7C500358" w14:textId="77777777" w:rsidR="006E087A" w:rsidRDefault="006E087A" w:rsidP="0071595E">
            <w:pPr>
              <w:pStyle w:val="TableBodyText"/>
            </w:pPr>
            <w:r>
              <w:t>Information</w:t>
            </w:r>
          </w:p>
        </w:tc>
        <w:tc>
          <w:tcPr>
            <w:tcW w:w="2439" w:type="dxa"/>
            <w:vAlign w:val="top"/>
          </w:tcPr>
          <w:p w14:paraId="249D3DA8"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Simple information flows</w:t>
            </w:r>
          </w:p>
        </w:tc>
        <w:tc>
          <w:tcPr>
            <w:tcW w:w="2439" w:type="dxa"/>
            <w:vAlign w:val="top"/>
          </w:tcPr>
          <w:p w14:paraId="3F532515"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More complex information requirements</w:t>
            </w:r>
          </w:p>
        </w:tc>
        <w:tc>
          <w:tcPr>
            <w:tcW w:w="2439" w:type="dxa"/>
            <w:vAlign w:val="top"/>
          </w:tcPr>
          <w:p w14:paraId="73C2624E"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Most complex information requirements</w:t>
            </w:r>
          </w:p>
        </w:tc>
      </w:tr>
      <w:tr w:rsidR="006E087A" w14:paraId="6A497AA6"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1323" w:type="dxa"/>
            <w:vAlign w:val="top"/>
          </w:tcPr>
          <w:p w14:paraId="1E1345D6" w14:textId="77777777" w:rsidR="006E087A" w:rsidRDefault="006E087A" w:rsidP="0071595E">
            <w:pPr>
              <w:pStyle w:val="TableBodyText"/>
            </w:pPr>
            <w:r>
              <w:t>Pricing</w:t>
            </w:r>
          </w:p>
        </w:tc>
        <w:tc>
          <w:tcPr>
            <w:tcW w:w="2439" w:type="dxa"/>
            <w:vAlign w:val="top"/>
          </w:tcPr>
          <w:p w14:paraId="646AD77E"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 delivery fee</w:t>
            </w:r>
          </w:p>
        </w:tc>
        <w:tc>
          <w:tcPr>
            <w:tcW w:w="2439" w:type="dxa"/>
            <w:vAlign w:val="top"/>
          </w:tcPr>
          <w:p w14:paraId="71D9E8D1"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 delivery fee</w:t>
            </w:r>
          </w:p>
        </w:tc>
        <w:tc>
          <w:tcPr>
            <w:tcW w:w="2439" w:type="dxa"/>
            <w:vAlign w:val="top"/>
          </w:tcPr>
          <w:p w14:paraId="4FC59748"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Delivery fee of $2.75 at Domino’s</w:t>
            </w:r>
          </w:p>
        </w:tc>
      </w:tr>
    </w:tbl>
    <w:p w14:paraId="1FF315D0" w14:textId="77777777" w:rsidR="006E087A" w:rsidRDefault="006E087A" w:rsidP="006E087A"/>
    <w:p w14:paraId="4B98886E" w14:textId="77777777" w:rsidR="006E087A" w:rsidRDefault="006E087A" w:rsidP="006E087A">
      <w:r>
        <w:t>Home delivery allows a pizza restaurant to increase its revenue per square foot because it can reduce the space allocated to sit-down customers. Home delivery (with a queue of orders) allows the restaurant an opportunity to batch some orders to get better throughput from its kitchen facilities. The downside, of course, is that home delivery increases outbound transportation costs and requires more information details than an in-store order.</w:t>
      </w:r>
    </w:p>
    <w:p w14:paraId="35B6C2D2" w14:textId="77777777" w:rsidR="006E087A" w:rsidRDefault="006E087A" w:rsidP="006E087A">
      <w:r>
        <w:t>Pizza orders also demonstrate “temporal aggregation” in that most customers will place pizza orders around mealtimes. This potentially offers the restaurant an opportunity to bunch nearby deliveries together. Pizza restaurants are located close to the customers they serve through home delivery. This reduces the driving distance on the outbound side. Pricing seems to indicate that the tradeoff of all these factors still results in a cost increase, and thus, a delivery fee is added.</w:t>
      </w:r>
    </w:p>
    <w:p w14:paraId="3F5CCA7B" w14:textId="77777777" w:rsidR="006E087A" w:rsidRDefault="006E087A" w:rsidP="006E087A">
      <w:r>
        <w:t>If we look at the tradeoff for pizza delivery, the presence of many facilities reduces the outbound delivery distance but has the potential to increase facility and inventory costs. Pizza restaurants reduce inventory costs by storing ingredients rather than finished product (making finished product only after a customer order) thus reducing the variety held. They reduce facility costs through home delivery by reducing the space requirements and getting greater revenue per square foot. If orders are placed online, the online channel allows them to potentially reduce the effort for order taking while ensuring accuracy of the order.</w:t>
      </w:r>
    </w:p>
    <w:p w14:paraId="65D0A281" w14:textId="77777777" w:rsidR="00BD38CD" w:rsidRPr="00D92A8F" w:rsidRDefault="00BD38CD" w:rsidP="006E087A">
      <w:pPr>
        <w:pStyle w:val="Heading4"/>
        <w:rPr>
          <w:i w:val="0"/>
        </w:rPr>
      </w:pPr>
      <w:r w:rsidRPr="00D92A8F">
        <w:rPr>
          <w:i w:val="0"/>
        </w:rPr>
        <w:t xml:space="preserve">2. Under what conditions can </w:t>
      </w:r>
      <w:r w:rsidR="007E3C42" w:rsidRPr="00D92A8F">
        <w:rPr>
          <w:i w:val="0"/>
        </w:rPr>
        <w:t>same</w:t>
      </w:r>
      <w:r w:rsidR="007E3C42">
        <w:rPr>
          <w:i w:val="0"/>
        </w:rPr>
        <w:t>-</w:t>
      </w:r>
      <w:r w:rsidRPr="00D92A8F">
        <w:rPr>
          <w:i w:val="0"/>
        </w:rPr>
        <w:t>day delivery be offered at low cost?</w:t>
      </w:r>
    </w:p>
    <w:p w14:paraId="0FF71631" w14:textId="77777777" w:rsidR="00BD38CD" w:rsidRDefault="00203CD5" w:rsidP="00BD38CD">
      <w:pPr>
        <w:ind w:firstLine="0"/>
      </w:pPr>
      <w:r>
        <w:t>Same-</w:t>
      </w:r>
      <w:r w:rsidR="00BD38CD">
        <w:t>day delivery can be offered at low cost if the fundamental characteristics found at pizza delivery, Jimmy John’s and other</w:t>
      </w:r>
      <w:r w:rsidR="00880FFD">
        <w:t>s,</w:t>
      </w:r>
      <w:r w:rsidR="00BD38CD">
        <w:t xml:space="preserve"> can be replicated. These characteristics include:</w:t>
      </w:r>
    </w:p>
    <w:p w14:paraId="151B1BC9" w14:textId="77777777" w:rsidR="00BD38CD" w:rsidRDefault="00BD38CD" w:rsidP="00BD38CD">
      <w:pPr>
        <w:pStyle w:val="BulletPoints"/>
      </w:pPr>
      <w:r>
        <w:t>Temporal aggregation of orders. Orders come bunched at mealtime, allowing delivery aggregation.</w:t>
      </w:r>
    </w:p>
    <w:p w14:paraId="4C05BA85" w14:textId="77777777" w:rsidR="00BD38CD" w:rsidRDefault="00BD38CD" w:rsidP="00BD38CD">
      <w:pPr>
        <w:pStyle w:val="BulletPoints"/>
      </w:pPr>
      <w:r>
        <w:t>Many delivery locations close to the customer. This reduces delivery distance and time.</w:t>
      </w:r>
    </w:p>
    <w:p w14:paraId="12D16B9E" w14:textId="77777777" w:rsidR="00BD38CD" w:rsidRDefault="00BD38CD" w:rsidP="00BD38CD">
      <w:pPr>
        <w:pStyle w:val="BulletPoints"/>
      </w:pPr>
      <w:r>
        <w:t>Relatively low variety of ingredients held in inventory. As a result, despite many locations, inventories are low because pizzas are made to order and inventory is held in the form of raw material.</w:t>
      </w:r>
    </w:p>
    <w:p w14:paraId="071A4413" w14:textId="77777777" w:rsidR="00BD38CD" w:rsidRDefault="00BD38CD" w:rsidP="00BD38CD">
      <w:pPr>
        <w:pStyle w:val="BulletPoints"/>
        <w:spacing w:after="240"/>
      </w:pPr>
      <w:r>
        <w:t>Home delivery reduces investment in dining space and reduces serving costs relative to a sit-down option.</w:t>
      </w:r>
    </w:p>
    <w:p w14:paraId="15B23ECF" w14:textId="77777777" w:rsidR="00BD38CD" w:rsidRDefault="00BD38CD" w:rsidP="00BD38CD">
      <w:pPr>
        <w:pStyle w:val="BulletPoints"/>
        <w:spacing w:after="240"/>
      </w:pPr>
      <w:r>
        <w:lastRenderedPageBreak/>
        <w:t xml:space="preserve">Pizza delivery uses vehicles belonging to the employee. These vehicles would otherwise have been idle (parked in the lot). Thus, the use of an underutilized transportation asset reduces the investment required for </w:t>
      </w:r>
      <w:r w:rsidR="00880FFD">
        <w:t>same-</w:t>
      </w:r>
      <w:r>
        <w:t>day delivery.</w:t>
      </w:r>
    </w:p>
    <w:p w14:paraId="72203DA0" w14:textId="77777777" w:rsidR="00BD38CD" w:rsidRDefault="00BD38CD" w:rsidP="00BD38CD">
      <w:pPr>
        <w:pStyle w:val="BulletPoints"/>
        <w:numPr>
          <w:ilvl w:val="0"/>
          <w:numId w:val="0"/>
        </w:numPr>
        <w:ind w:left="360"/>
      </w:pPr>
      <w:r>
        <w:t>The biggest challenge to offering free home delivery of pizza is the relatively low value of an order placed at a restaurant like Domino’s.</w:t>
      </w:r>
    </w:p>
    <w:p w14:paraId="59E90654" w14:textId="77777777" w:rsidR="00BD38CD" w:rsidRPr="00BD38CD" w:rsidRDefault="00BD38CD" w:rsidP="00BD38CD">
      <w:pPr>
        <w:ind w:left="360" w:firstLine="0"/>
      </w:pPr>
    </w:p>
    <w:p w14:paraId="5BA4B13C" w14:textId="77777777" w:rsidR="006E087A" w:rsidRPr="00D92A8F" w:rsidRDefault="00BD38CD" w:rsidP="006E087A">
      <w:pPr>
        <w:pStyle w:val="Heading4"/>
        <w:rPr>
          <w:i w:val="0"/>
        </w:rPr>
      </w:pPr>
      <w:r w:rsidRPr="00D92A8F">
        <w:rPr>
          <w:i w:val="0"/>
        </w:rPr>
        <w:t>3</w:t>
      </w:r>
      <w:r w:rsidR="006E087A" w:rsidRPr="00D92A8F">
        <w:rPr>
          <w:i w:val="0"/>
        </w:rPr>
        <w:t xml:space="preserve">. What are the characteristics of businesses that can succeed with same-day delivery? Can Amazon, Walmart, or </w:t>
      </w:r>
      <w:r w:rsidRPr="00D92A8F">
        <w:rPr>
          <w:i w:val="0"/>
        </w:rPr>
        <w:t>Instacart</w:t>
      </w:r>
      <w:r w:rsidR="006E087A" w:rsidRPr="00D92A8F">
        <w:rPr>
          <w:i w:val="0"/>
        </w:rPr>
        <w:t xml:space="preserve"> succeed with same-day delivery? Who is likely to do better? Why?</w:t>
      </w:r>
    </w:p>
    <w:p w14:paraId="58303A24" w14:textId="77777777" w:rsidR="006E087A" w:rsidRDefault="006E087A" w:rsidP="006E087A">
      <w:r>
        <w:t xml:space="preserve">The key characteristics </w:t>
      </w:r>
      <w:r w:rsidR="00BD38CD">
        <w:t xml:space="preserve">of businesses that can succeed with </w:t>
      </w:r>
      <w:r w:rsidR="00DF7785">
        <w:t>same-</w:t>
      </w:r>
      <w:r w:rsidR="00BD38CD">
        <w:t>day delivery are the ability to lower cost (as discussed in the answer to 2) or have customers who are willing to pay a premium for the responsiveness (as is the case with Instacart users)</w:t>
      </w:r>
      <w:r w:rsidR="00E170EA">
        <w:t>.</w:t>
      </w:r>
    </w:p>
    <w:p w14:paraId="4D334DC5" w14:textId="77777777" w:rsidR="006E087A" w:rsidRDefault="006E087A" w:rsidP="006E087A">
      <w:r>
        <w:t xml:space="preserve">We can now compare Amazon and Walmart along some of the dimensions discussed above (see </w:t>
      </w:r>
      <w:r w:rsidRPr="000141F8">
        <w:rPr>
          <w:b/>
        </w:rPr>
        <w:t xml:space="preserve">Table </w:t>
      </w:r>
      <w:r>
        <w:rPr>
          <w:b/>
        </w:rPr>
        <w:t>TN</w:t>
      </w:r>
      <w:r w:rsidRPr="000141F8">
        <w:rPr>
          <w:b/>
        </w:rPr>
        <w:t>2</w:t>
      </w:r>
      <w:r>
        <w:t>).</w:t>
      </w:r>
    </w:p>
    <w:p w14:paraId="443B5E7A" w14:textId="77777777" w:rsidR="006E087A" w:rsidRDefault="006E087A" w:rsidP="006E087A">
      <w:pPr>
        <w:pStyle w:val="TableTitle"/>
      </w:pPr>
      <w:r>
        <w:t>Table TN2:</w:t>
      </w:r>
    </w:p>
    <w:tbl>
      <w:tblPr>
        <w:tblStyle w:val="TableGrid"/>
        <w:tblW w:w="8640" w:type="dxa"/>
        <w:tblInd w:w="142" w:type="dxa"/>
        <w:tblLook w:val="04A0" w:firstRow="1" w:lastRow="0" w:firstColumn="1" w:lastColumn="0" w:noHBand="0" w:noVBand="1"/>
      </w:tblPr>
      <w:tblGrid>
        <w:gridCol w:w="2807"/>
        <w:gridCol w:w="2916"/>
        <w:gridCol w:w="2917"/>
      </w:tblGrid>
      <w:tr w:rsidR="006E087A" w14:paraId="4F3D787E" w14:textId="77777777" w:rsidTr="0071595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07" w:type="dxa"/>
          </w:tcPr>
          <w:p w14:paraId="34A434FB" w14:textId="77777777" w:rsidR="006E087A" w:rsidRDefault="006E087A" w:rsidP="0071595E">
            <w:pPr>
              <w:pStyle w:val="TableBodyText"/>
            </w:pPr>
          </w:p>
        </w:tc>
        <w:tc>
          <w:tcPr>
            <w:tcW w:w="2916" w:type="dxa"/>
          </w:tcPr>
          <w:p w14:paraId="1A913FAD" w14:textId="77777777" w:rsidR="006E087A" w:rsidRDefault="006E087A" w:rsidP="0071595E">
            <w:pPr>
              <w:pStyle w:val="TableBodyText"/>
              <w:cnfStyle w:val="100000000000" w:firstRow="1" w:lastRow="0" w:firstColumn="0" w:lastColumn="0" w:oddVBand="0" w:evenVBand="0" w:oddHBand="0" w:evenHBand="0" w:firstRowFirstColumn="0" w:firstRowLastColumn="0" w:lastRowFirstColumn="0" w:lastRowLastColumn="0"/>
            </w:pPr>
            <w:r>
              <w:t>Amazon</w:t>
            </w:r>
          </w:p>
        </w:tc>
        <w:tc>
          <w:tcPr>
            <w:tcW w:w="2917" w:type="dxa"/>
          </w:tcPr>
          <w:p w14:paraId="5144960E" w14:textId="77777777" w:rsidR="006E087A" w:rsidRDefault="006E087A" w:rsidP="0071595E">
            <w:pPr>
              <w:pStyle w:val="TableBodyText"/>
              <w:cnfStyle w:val="100000000000" w:firstRow="1" w:lastRow="0" w:firstColumn="0" w:lastColumn="0" w:oddVBand="0" w:evenVBand="0" w:oddHBand="0" w:evenHBand="0" w:firstRowFirstColumn="0" w:firstRowLastColumn="0" w:lastRowFirstColumn="0" w:lastRowLastColumn="0"/>
            </w:pPr>
            <w:r>
              <w:t>Walmart</w:t>
            </w:r>
          </w:p>
        </w:tc>
      </w:tr>
      <w:tr w:rsidR="006E087A" w14:paraId="7381D374"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2807" w:type="dxa"/>
            <w:vAlign w:val="top"/>
          </w:tcPr>
          <w:p w14:paraId="044458B6" w14:textId="77777777" w:rsidR="006E087A" w:rsidRDefault="006E087A" w:rsidP="0071595E">
            <w:pPr>
              <w:pStyle w:val="TableBodyText"/>
            </w:pPr>
            <w:r>
              <w:t>Variety</w:t>
            </w:r>
          </w:p>
        </w:tc>
        <w:tc>
          <w:tcPr>
            <w:tcW w:w="2916" w:type="dxa"/>
            <w:vAlign w:val="top"/>
          </w:tcPr>
          <w:p w14:paraId="4D0BF6EA"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Higher</w:t>
            </w:r>
          </w:p>
        </w:tc>
        <w:tc>
          <w:tcPr>
            <w:tcW w:w="2917" w:type="dxa"/>
            <w:vAlign w:val="top"/>
          </w:tcPr>
          <w:p w14:paraId="5F0C3CB5"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Lower</w:t>
            </w:r>
          </w:p>
        </w:tc>
      </w:tr>
      <w:tr w:rsidR="006E087A" w14:paraId="1B48D519"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2807" w:type="dxa"/>
            <w:vAlign w:val="top"/>
          </w:tcPr>
          <w:p w14:paraId="5699F1F7" w14:textId="77777777" w:rsidR="006E087A" w:rsidRDefault="006E087A" w:rsidP="0071595E">
            <w:pPr>
              <w:pStyle w:val="TableBodyText"/>
            </w:pPr>
            <w:r>
              <w:t>Number of facilities</w:t>
            </w:r>
          </w:p>
        </w:tc>
        <w:tc>
          <w:tcPr>
            <w:tcW w:w="2916" w:type="dxa"/>
            <w:vAlign w:val="top"/>
          </w:tcPr>
          <w:p w14:paraId="6AE46F10"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Lower</w:t>
            </w:r>
          </w:p>
        </w:tc>
        <w:tc>
          <w:tcPr>
            <w:tcW w:w="2917" w:type="dxa"/>
            <w:vAlign w:val="top"/>
          </w:tcPr>
          <w:p w14:paraId="5885ACF3"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Higher</w:t>
            </w:r>
          </w:p>
        </w:tc>
      </w:tr>
      <w:tr w:rsidR="006E087A" w14:paraId="4EB0C882"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2807" w:type="dxa"/>
            <w:vAlign w:val="top"/>
          </w:tcPr>
          <w:p w14:paraId="5423EC5C" w14:textId="77777777" w:rsidR="006E087A" w:rsidRDefault="006E087A" w:rsidP="0071595E">
            <w:pPr>
              <w:pStyle w:val="TableBodyText"/>
            </w:pPr>
            <w:r>
              <w:t>Potential for postponement</w:t>
            </w:r>
          </w:p>
        </w:tc>
        <w:tc>
          <w:tcPr>
            <w:tcW w:w="2916" w:type="dxa"/>
            <w:vAlign w:val="top"/>
          </w:tcPr>
          <w:p w14:paraId="012F5BD1"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Low</w:t>
            </w:r>
          </w:p>
        </w:tc>
        <w:tc>
          <w:tcPr>
            <w:tcW w:w="2917" w:type="dxa"/>
            <w:vAlign w:val="top"/>
          </w:tcPr>
          <w:p w14:paraId="10E224F7"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Low</w:t>
            </w:r>
          </w:p>
        </w:tc>
      </w:tr>
      <w:tr w:rsidR="006E087A" w14:paraId="0E0D20DE" w14:textId="77777777" w:rsidTr="0071595E">
        <w:trPr>
          <w:cantSplit w:val="0"/>
        </w:trPr>
        <w:tc>
          <w:tcPr>
            <w:cnfStyle w:val="001000000000" w:firstRow="0" w:lastRow="0" w:firstColumn="1" w:lastColumn="0" w:oddVBand="0" w:evenVBand="0" w:oddHBand="0" w:evenHBand="0" w:firstRowFirstColumn="0" w:firstRowLastColumn="0" w:lastRowFirstColumn="0" w:lastRowLastColumn="0"/>
            <w:tcW w:w="2807" w:type="dxa"/>
            <w:vAlign w:val="top"/>
          </w:tcPr>
          <w:p w14:paraId="6F091215" w14:textId="77777777" w:rsidR="006E087A" w:rsidRDefault="006E087A" w:rsidP="0071595E">
            <w:pPr>
              <w:pStyle w:val="TableBodyText"/>
            </w:pPr>
            <w:r>
              <w:t>Does home delivery reduce footprint?</w:t>
            </w:r>
          </w:p>
        </w:tc>
        <w:tc>
          <w:tcPr>
            <w:tcW w:w="2916" w:type="dxa"/>
            <w:vAlign w:val="top"/>
          </w:tcPr>
          <w:p w14:paraId="4A079289"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Not at a DC</w:t>
            </w:r>
          </w:p>
        </w:tc>
        <w:tc>
          <w:tcPr>
            <w:tcW w:w="2917" w:type="dxa"/>
            <w:vAlign w:val="top"/>
          </w:tcPr>
          <w:p w14:paraId="1F8D629F" w14:textId="77777777" w:rsidR="006E087A" w:rsidRDefault="006E087A" w:rsidP="0071595E">
            <w:pPr>
              <w:pStyle w:val="TableBodyText"/>
              <w:cnfStyle w:val="000000000000" w:firstRow="0" w:lastRow="0" w:firstColumn="0" w:lastColumn="0" w:oddVBand="0" w:evenVBand="0" w:oddHBand="0" w:evenHBand="0" w:firstRowFirstColumn="0" w:firstRowLastColumn="0" w:lastRowFirstColumn="0" w:lastRowLastColumn="0"/>
            </w:pPr>
            <w:r>
              <w:t xml:space="preserve">Potentially allows better use </w:t>
            </w:r>
            <w:r>
              <w:br/>
              <w:t>of back room at a store</w:t>
            </w:r>
          </w:p>
        </w:tc>
      </w:tr>
    </w:tbl>
    <w:p w14:paraId="28B2937B" w14:textId="77777777" w:rsidR="006E087A" w:rsidRDefault="006E087A" w:rsidP="006E087A"/>
    <w:p w14:paraId="65D09D50" w14:textId="77777777" w:rsidR="006E087A" w:rsidRDefault="006E087A" w:rsidP="006E087A">
      <w:r>
        <w:t>The fewer facilities in the Amazon network increases the average delivery distance. The greater variety will hurt inventory if Amazon increases the number of facilities. Home delivery does not reduce the pick-pack operation at Amazon and adds a pick-pack at Walmart. If same-day delivery is based on a cutoff time that is long enough, both Amazon and Walmart have some opportunity to aggregate deliveries.</w:t>
      </w:r>
    </w:p>
    <w:p w14:paraId="0F2FF8C8" w14:textId="77777777" w:rsidR="006E087A" w:rsidRDefault="006E087A" w:rsidP="006E087A">
      <w:r>
        <w:t>Unlike pizza delivery, neither Amazon nor Walmart has any other savings as a result of home delivery. Thus, same-day delivery can only be positioned as a value-added service for which customers should be willing to pay. Also, given the high cost of home delivery, it seems that the service is likely to be feasible only in urban areas. It seems that Walmart has a slight advantage over Amazon because it has more facilities, moving it closer to the customer. The challenge for Walmart is that it will have to configure stores (or back rooms) to be able to process individual customer orders. Amazon will have difficulty providing same-day delivery for its entire product portfolio because this will significantly increase inventory requirements. Same-day delivery at Amazon is likely to be suitable for a limited variety of fast-moving products. The biggest challenge for both companies relative to pizza delivery is too large a variety of products coupled with a long distance from customers.</w:t>
      </w:r>
    </w:p>
    <w:p w14:paraId="3E67C7A7" w14:textId="77777777" w:rsidR="00BD38CD" w:rsidRDefault="00BD38CD" w:rsidP="006E087A">
      <w:r>
        <w:t xml:space="preserve">With Amazon’s recent acquisition of Whole Foods, Amazon may become more effective for home delivery of groceries, as well as </w:t>
      </w:r>
      <w:r w:rsidR="006F4177">
        <w:t>semi-</w:t>
      </w:r>
      <w:r>
        <w:t>cooked (in direct competition with Blue Apron and the like) and fully cooked meals.</w:t>
      </w:r>
    </w:p>
    <w:p w14:paraId="2E6337F2" w14:textId="77777777" w:rsidR="006E087A" w:rsidRDefault="006E087A" w:rsidP="006E087A">
      <w:r>
        <w:t xml:space="preserve">Both companies can offer </w:t>
      </w:r>
      <w:r w:rsidR="006F4177">
        <w:t>same-</w:t>
      </w:r>
      <w:r>
        <w:t xml:space="preserve">day availability (as opposed to </w:t>
      </w:r>
      <w:r w:rsidR="006F4177">
        <w:t>same-</w:t>
      </w:r>
      <w:r>
        <w:t>day delivery) at physical outlets. For example, Wal</w:t>
      </w:r>
      <w:r w:rsidR="006F4177">
        <w:t>m</w:t>
      </w:r>
      <w:r>
        <w:t xml:space="preserve">art could offer for pickup on the same day at stores, products that are typically not available at the store (they could be stored at a DC and delivered daily to stores based on orders). </w:t>
      </w:r>
      <w:r w:rsidR="006F4177">
        <w:t xml:space="preserve">Whereas </w:t>
      </w:r>
      <w:r>
        <w:t>the customer would have to travel to the store</w:t>
      </w:r>
      <w:r w:rsidR="006F4177">
        <w:t>,</w:t>
      </w:r>
      <w:r>
        <w:t xml:space="preserve"> it would reduce delivery costs for Wal</w:t>
      </w:r>
      <w:r w:rsidR="006F4177">
        <w:t>m</w:t>
      </w:r>
      <w:r>
        <w:t xml:space="preserve">art while making a greater variety of products available to customers. A similar possibility that could prove effective for </w:t>
      </w:r>
      <w:r>
        <w:lastRenderedPageBreak/>
        <w:t xml:space="preserve">Amazon is the use of lockers positioned at physical locations such as Seven-Eleven stores (see </w:t>
      </w:r>
      <w:r w:rsidRPr="005B0C09">
        <w:rPr>
          <w:b/>
        </w:rPr>
        <w:t xml:space="preserve">Figure </w:t>
      </w:r>
      <w:r>
        <w:rPr>
          <w:b/>
        </w:rPr>
        <w:t>TN</w:t>
      </w:r>
      <w:r w:rsidRPr="005B0C09">
        <w:rPr>
          <w:b/>
        </w:rPr>
        <w:t>1</w:t>
      </w:r>
      <w:r>
        <w:t>). Same-day delivery to these lockers is likely to be much less expensive than same-day delivery to individual homes. To the extent that lockers are positioned close enough to people’s homes, this could be an effective same-day option.</w:t>
      </w:r>
    </w:p>
    <w:p w14:paraId="2F66166F" w14:textId="77777777" w:rsidR="00F3393C" w:rsidRDefault="00F3393C" w:rsidP="006E087A">
      <w:r>
        <w:t xml:space="preserve">There will always be a </w:t>
      </w:r>
      <w:r w:rsidR="006342F4">
        <w:t>convenience-</w:t>
      </w:r>
      <w:r>
        <w:t>seeking set of customers who value responsiveness in delivery and are willing to pay for this service. For this set of customers, a third party such as Instacart may succeed. The challenge for a company like Instacart will be the pickup of orders along with delivery. As long as Instacart does not have its own warehouse, its costs of picking a customer order will remain high.</w:t>
      </w:r>
    </w:p>
    <w:p w14:paraId="7A7759CA" w14:textId="77777777" w:rsidR="006E087A" w:rsidRPr="002F39C5" w:rsidRDefault="006E087A" w:rsidP="00D92A8F">
      <w:pPr>
        <w:spacing w:after="200" w:line="276" w:lineRule="auto"/>
        <w:ind w:firstLine="0"/>
        <w:jc w:val="left"/>
        <w:rPr>
          <w:b/>
        </w:rPr>
      </w:pPr>
      <w:r w:rsidRPr="00680DA2">
        <w:rPr>
          <w:noProof/>
          <w:sz w:val="24"/>
          <w:szCs w:val="24"/>
        </w:rPr>
        <w:drawing>
          <wp:anchor distT="0" distB="0" distL="114300" distR="114300" simplePos="0" relativeHeight="251658240" behindDoc="1" locked="0" layoutInCell="1" allowOverlap="1" wp14:anchorId="63CA4878" wp14:editId="624AFE55">
            <wp:simplePos x="0" y="0"/>
            <wp:positionH relativeFrom="column">
              <wp:posOffset>19685</wp:posOffset>
            </wp:positionH>
            <wp:positionV relativeFrom="paragraph">
              <wp:posOffset>407670</wp:posOffset>
            </wp:positionV>
            <wp:extent cx="2432050" cy="2578100"/>
            <wp:effectExtent l="0" t="0" r="6350" b="0"/>
            <wp:wrapNone/>
            <wp:docPr id="3" name="Picture 1" descr="http://www.wired.com/images_blogs/business/2012/08/080712-AMAZON-LOCKER-005edit.jpg"/>
            <wp:cNvGraphicFramePr/>
            <a:graphic xmlns:a="http://schemas.openxmlformats.org/drawingml/2006/main">
              <a:graphicData uri="http://schemas.openxmlformats.org/drawingml/2006/picture">
                <pic:pic xmlns:pic="http://schemas.openxmlformats.org/drawingml/2006/picture">
                  <pic:nvPicPr>
                    <pic:cNvPr id="1028" name="Picture 4" descr="http://www.wired.com/images_blogs/business/2012/08/080712-AMAZON-LOCKER-005edit.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2498" t="12066" r="43237"/>
                    <a:stretch/>
                  </pic:blipFill>
                  <pic:spPr bwMode="auto">
                    <a:xfrm>
                      <a:off x="0" y="0"/>
                      <a:ext cx="2432050" cy="2578100"/>
                    </a:xfrm>
                    <a:prstGeom prst="rect">
                      <a:avLst/>
                    </a:prstGeom>
                    <a:extLst/>
                  </pic:spPr>
                </pic:pic>
              </a:graphicData>
            </a:graphic>
          </wp:anchor>
        </w:drawing>
      </w:r>
      <w:r>
        <w:t xml:space="preserve">Figure TN1: </w:t>
      </w:r>
      <w:r w:rsidRPr="002F39C5">
        <w:t>Amazon Locker</w:t>
      </w:r>
    </w:p>
    <w:p w14:paraId="4FBCA6CC" w14:textId="77777777" w:rsidR="006E087A" w:rsidRDefault="006E087A" w:rsidP="006E087A">
      <w:pPr>
        <w:spacing w:line="240" w:lineRule="auto"/>
        <w:ind w:firstLine="0"/>
      </w:pPr>
    </w:p>
    <w:p w14:paraId="1357C93D" w14:textId="77777777" w:rsidR="006E087A" w:rsidRDefault="006E087A" w:rsidP="006E087A"/>
    <w:p w14:paraId="29CFD692" w14:textId="77777777" w:rsidR="006E087A" w:rsidRDefault="006E087A" w:rsidP="006E087A"/>
    <w:p w14:paraId="2567555D" w14:textId="77777777" w:rsidR="006E087A" w:rsidRDefault="006E087A" w:rsidP="006E087A"/>
    <w:p w14:paraId="08429EB7" w14:textId="77777777" w:rsidR="006E087A" w:rsidRDefault="006E087A" w:rsidP="006E087A"/>
    <w:p w14:paraId="7ECF825B" w14:textId="77777777" w:rsidR="006E087A" w:rsidRDefault="006E087A" w:rsidP="006E087A"/>
    <w:p w14:paraId="79C8DFE1" w14:textId="77777777" w:rsidR="006E087A" w:rsidRDefault="006E087A" w:rsidP="006E087A"/>
    <w:p w14:paraId="2A41C0A3" w14:textId="77777777" w:rsidR="006E087A" w:rsidRDefault="006E087A" w:rsidP="006E087A"/>
    <w:p w14:paraId="3787F778" w14:textId="77777777" w:rsidR="006E087A" w:rsidRDefault="006E087A" w:rsidP="006E087A"/>
    <w:p w14:paraId="762D90A8" w14:textId="77777777" w:rsidR="006E087A" w:rsidRDefault="006E087A" w:rsidP="006E087A">
      <w:r>
        <w:t>Seven-Eleven Japan is also providing same-day home delivery to its customers. Given the aging Japanese population, there is high demand for such a service. Seven-Eleven Japan has a large number of retail outlets in Japan (more than 14,000 in 2012) that get regular deliveries. The proximity of these retail outlets to homes could make same-day home delivery a feasible service for Seven-Eleven Japan.</w:t>
      </w:r>
    </w:p>
    <w:p w14:paraId="4D13639C" w14:textId="77777777" w:rsidR="006E087A" w:rsidRDefault="006E087A" w:rsidP="006E087A">
      <w:r>
        <w:t>eBay and the U.S. Postal Service are also experimenting with same-day delivery in the San Francisco region. This seems to be purely a value-added service for eBay with little leveraging of existing infrastructure. In the case of the U.S. Postal Service, one could argue that same-day delivery might allow the use of existing infrastructure that is currently underutilized.</w:t>
      </w:r>
    </w:p>
    <w:p w14:paraId="7BE124C5" w14:textId="77777777" w:rsidR="006E087A" w:rsidRDefault="006E087A" w:rsidP="006E087A">
      <w:r>
        <w:t>The eBay effort certainly looks like Kozmo and Urbanfetch, both of which failed.</w:t>
      </w:r>
    </w:p>
    <w:p w14:paraId="074C9640" w14:textId="77777777" w:rsidR="006E087A" w:rsidRDefault="006E087A" w:rsidP="006E087A">
      <w:pPr>
        <w:pStyle w:val="Heading2"/>
      </w:pPr>
      <w:r>
        <w:t>Summary Comment</w:t>
      </w:r>
    </w:p>
    <w:p w14:paraId="202CD252" w14:textId="77777777" w:rsidR="006E087A" w:rsidRDefault="006E087A" w:rsidP="006E087A">
      <w:r>
        <w:t xml:space="preserve">In summary, same-day delivery is unlikely to succeed as a free service but has an opportunity for customers willing to pay for it. Success is most likely in markets with sufficient scale, high population density, and high average income (reflecting customer ability to pay for the service) (see </w:t>
      </w:r>
      <w:r w:rsidRPr="00EF5D4A">
        <w:rPr>
          <w:b/>
        </w:rPr>
        <w:t>Figure TN2</w:t>
      </w:r>
      <w:r>
        <w:t>). The costs of delivery could be lowered through the use of pickup locations such as lockers.</w:t>
      </w:r>
    </w:p>
    <w:p w14:paraId="728D48B0" w14:textId="77777777" w:rsidR="00581362" w:rsidRDefault="00581362">
      <w:pPr>
        <w:spacing w:after="200" w:line="276" w:lineRule="auto"/>
        <w:ind w:firstLine="0"/>
        <w:jc w:val="left"/>
        <w:rPr>
          <w:rFonts w:ascii="Arial" w:eastAsia="Times New Roman" w:hAnsi="Arial"/>
          <w:b/>
          <w:szCs w:val="28"/>
        </w:rPr>
      </w:pPr>
      <w:r>
        <w:br w:type="page"/>
      </w:r>
    </w:p>
    <w:p w14:paraId="312A6AEB" w14:textId="77777777" w:rsidR="006E087A" w:rsidRPr="002F39C5" w:rsidRDefault="006E087A" w:rsidP="006E087A">
      <w:pPr>
        <w:pStyle w:val="FigureTitle"/>
        <w:rPr>
          <w:b w:val="0"/>
        </w:rPr>
      </w:pPr>
      <w:r>
        <w:lastRenderedPageBreak/>
        <w:t xml:space="preserve">Figure TN2: </w:t>
      </w:r>
      <w:r w:rsidRPr="002F39C5">
        <w:rPr>
          <w:b w:val="0"/>
        </w:rPr>
        <w:t>Home Delivery Success Factors</w:t>
      </w:r>
    </w:p>
    <w:p w14:paraId="43549143" w14:textId="77777777" w:rsidR="006E087A" w:rsidRDefault="006E087A" w:rsidP="006E087A">
      <w:pPr>
        <w:spacing w:line="240" w:lineRule="auto"/>
        <w:ind w:firstLine="0"/>
      </w:pPr>
      <w:r>
        <w:rPr>
          <w:rFonts w:cstheme="minorHAnsi"/>
          <w:noProof/>
          <w:sz w:val="24"/>
          <w:szCs w:val="24"/>
        </w:rPr>
        <w:drawing>
          <wp:anchor distT="0" distB="0" distL="114300" distR="114300" simplePos="0" relativeHeight="251659264" behindDoc="1" locked="0" layoutInCell="1" allowOverlap="1" wp14:anchorId="5816543E" wp14:editId="6BAAB9F8">
            <wp:simplePos x="0" y="0"/>
            <wp:positionH relativeFrom="column">
              <wp:posOffset>-1829</wp:posOffset>
            </wp:positionH>
            <wp:positionV relativeFrom="paragraph">
              <wp:posOffset>-1829</wp:posOffset>
            </wp:positionV>
            <wp:extent cx="5486400" cy="3009473"/>
            <wp:effectExtent l="0" t="0" r="0" b="635"/>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3009473"/>
                    </a:xfrm>
                    <a:prstGeom prst="rect">
                      <a:avLst/>
                    </a:prstGeom>
                    <a:noFill/>
                  </pic:spPr>
                </pic:pic>
              </a:graphicData>
            </a:graphic>
          </wp:anchor>
        </w:drawing>
      </w:r>
    </w:p>
    <w:p w14:paraId="1E5593A7" w14:textId="77777777" w:rsidR="006E087A" w:rsidRDefault="006E087A" w:rsidP="006E087A"/>
    <w:p w14:paraId="540E3F1D" w14:textId="77777777" w:rsidR="006E087A" w:rsidRDefault="006E087A" w:rsidP="006E087A"/>
    <w:p w14:paraId="41982662" w14:textId="77777777" w:rsidR="006E087A" w:rsidRDefault="006E087A" w:rsidP="006E087A"/>
    <w:p w14:paraId="05055832" w14:textId="77777777" w:rsidR="006E087A" w:rsidRDefault="006E087A" w:rsidP="006E087A"/>
    <w:p w14:paraId="39151A6E" w14:textId="77777777" w:rsidR="006E087A" w:rsidRDefault="006E087A" w:rsidP="006E087A"/>
    <w:p w14:paraId="79A3C480" w14:textId="77777777" w:rsidR="006E087A" w:rsidRDefault="006E087A" w:rsidP="006E087A"/>
    <w:p w14:paraId="1AB65AD6" w14:textId="77777777" w:rsidR="006E087A" w:rsidRDefault="006E087A" w:rsidP="006E087A"/>
    <w:p w14:paraId="60C792CA" w14:textId="77777777" w:rsidR="006E087A" w:rsidRDefault="006E087A" w:rsidP="006E087A"/>
    <w:p w14:paraId="6357416C" w14:textId="77777777" w:rsidR="006E087A" w:rsidRDefault="006E087A" w:rsidP="006E087A"/>
    <w:p w14:paraId="2575B79C" w14:textId="77777777" w:rsidR="006E087A" w:rsidRDefault="006E087A" w:rsidP="006E087A"/>
    <w:p w14:paraId="30119A50" w14:textId="77777777" w:rsidR="006E087A" w:rsidRDefault="006E087A" w:rsidP="006E087A"/>
    <w:p w14:paraId="2E59C335" w14:textId="77777777" w:rsidR="006E087A" w:rsidRDefault="006E087A" w:rsidP="006E087A">
      <w:r w:rsidRPr="00667E5F">
        <w:t xml:space="preserve">Another factor that can make a difference is </w:t>
      </w:r>
      <w:r>
        <w:t xml:space="preserve">a </w:t>
      </w:r>
      <w:r w:rsidRPr="00667E5F">
        <w:t>dynamic delivery fee that can be used to drive customers into time slots to level load the delivery effort and get good utilization.</w:t>
      </w:r>
    </w:p>
    <w:p w14:paraId="44A2A16B" w14:textId="77777777" w:rsidR="00360F88" w:rsidRDefault="00360F88"/>
    <w:sectPr w:rsidR="00360F88">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F91692" w14:textId="77777777" w:rsidR="002202C8" w:rsidRDefault="002202C8" w:rsidP="00DD2A43">
      <w:pPr>
        <w:spacing w:after="0" w:line="240" w:lineRule="auto"/>
      </w:pPr>
      <w:r>
        <w:separator/>
      </w:r>
    </w:p>
  </w:endnote>
  <w:endnote w:type="continuationSeparator" w:id="0">
    <w:p w14:paraId="3C62FCF1" w14:textId="77777777" w:rsidR="002202C8" w:rsidRDefault="002202C8" w:rsidP="00DD2A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6C2475" w14:textId="77777777" w:rsidR="000E001A" w:rsidRDefault="000E001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860790" w14:textId="03CA43F5" w:rsidR="00DD2A43" w:rsidRPr="00B57CAC" w:rsidRDefault="00B57CAC" w:rsidP="00B57CAC">
    <w:pPr>
      <w:pStyle w:val="Footer"/>
      <w:ind w:firstLine="0"/>
      <w:rPr>
        <w:sz w:val="24"/>
      </w:rPr>
    </w:pPr>
    <w:r w:rsidRPr="00B57CAC">
      <w:rPr>
        <w:sz w:val="24"/>
      </w:rPr>
      <w:t>Copyright © 2019 Pearson Education, Inc.</w:t>
    </w:r>
    <w:r w:rsidRPr="00B57CAC">
      <w:rPr>
        <w:sz w:val="24"/>
      </w:rPr>
      <w:tab/>
    </w:r>
    <w:r w:rsidRPr="00B57CAC">
      <w:rPr>
        <w:sz w:val="24"/>
      </w:rPr>
      <w:tab/>
    </w:r>
    <w:bookmarkStart w:id="0" w:name="_GoBack"/>
    <w:bookmarkEnd w:id="0"/>
    <w:r w:rsidRPr="00B57CAC">
      <w:rPr>
        <w:noProof/>
        <w:sz w:val="24"/>
      </w:rPr>
      <w:drawing>
        <wp:inline distT="0" distB="0" distL="0" distR="0" wp14:anchorId="0126DD33" wp14:editId="2420F763">
          <wp:extent cx="649224" cy="461497"/>
          <wp:effectExtent l="0" t="0" r="0" b="0"/>
          <wp:docPr id="5" name="Picture 5"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224" cy="461497"/>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2748C" w14:textId="77777777" w:rsidR="000E001A" w:rsidRDefault="000E001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8568A6" w14:textId="77777777" w:rsidR="002202C8" w:rsidRDefault="002202C8" w:rsidP="00DD2A43">
      <w:pPr>
        <w:spacing w:after="0" w:line="240" w:lineRule="auto"/>
      </w:pPr>
      <w:r>
        <w:separator/>
      </w:r>
    </w:p>
  </w:footnote>
  <w:footnote w:type="continuationSeparator" w:id="0">
    <w:p w14:paraId="1739A7F8" w14:textId="77777777" w:rsidR="002202C8" w:rsidRDefault="002202C8" w:rsidP="00DD2A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3AE10" w14:textId="77777777" w:rsidR="000E001A" w:rsidRDefault="000E001A">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D6142C" w14:textId="3421263B" w:rsidR="00DD2A43" w:rsidRDefault="00DD2A43" w:rsidP="00B57CAC">
    <w:pPr>
      <w:pStyle w:val="Header"/>
      <w:ind w:firstLine="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90E80" w14:textId="77777777" w:rsidR="000E001A" w:rsidRDefault="000E001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F33A0A"/>
    <w:multiLevelType w:val="hybridMultilevel"/>
    <w:tmpl w:val="42A8A178"/>
    <w:lvl w:ilvl="0" w:tplc="4BA45EA4">
      <w:start w:val="1"/>
      <w:numFmt w:val="decimal"/>
      <w:pStyle w:val="Numbering"/>
      <w:lvlText w:val="%1."/>
      <w:lvlJc w:val="left"/>
      <w:pPr>
        <w:tabs>
          <w:tab w:val="num" w:pos="2160"/>
        </w:tabs>
        <w:ind w:left="2160" w:hanging="360"/>
      </w:pPr>
    </w:lvl>
    <w:lvl w:ilvl="1" w:tplc="1496312E">
      <w:start w:val="1"/>
      <w:numFmt w:val="lowerLetter"/>
      <w:pStyle w:val="Numbering2"/>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 w15:restartNumberingAfterBreak="0">
    <w:nsid w:val="5D1539A3"/>
    <w:multiLevelType w:val="hybridMultilevel"/>
    <w:tmpl w:val="AB9E5FA4"/>
    <w:lvl w:ilvl="0" w:tplc="5212ECB0">
      <w:start w:val="1"/>
      <w:numFmt w:val="bullet"/>
      <w:pStyle w:val="BulletPoints"/>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087A"/>
    <w:rsid w:val="00066827"/>
    <w:rsid w:val="000E001A"/>
    <w:rsid w:val="001174B1"/>
    <w:rsid w:val="00203CD5"/>
    <w:rsid w:val="002202C8"/>
    <w:rsid w:val="00354706"/>
    <w:rsid w:val="00360F88"/>
    <w:rsid w:val="00581362"/>
    <w:rsid w:val="005C2AE0"/>
    <w:rsid w:val="005D6511"/>
    <w:rsid w:val="0063064B"/>
    <w:rsid w:val="00633E73"/>
    <w:rsid w:val="006342F4"/>
    <w:rsid w:val="00660F26"/>
    <w:rsid w:val="0068635A"/>
    <w:rsid w:val="006D0512"/>
    <w:rsid w:val="006E087A"/>
    <w:rsid w:val="006E4138"/>
    <w:rsid w:val="006F0F82"/>
    <w:rsid w:val="006F4177"/>
    <w:rsid w:val="00763CE8"/>
    <w:rsid w:val="00764D32"/>
    <w:rsid w:val="007E336F"/>
    <w:rsid w:val="007E3C42"/>
    <w:rsid w:val="00880FFD"/>
    <w:rsid w:val="00A265D9"/>
    <w:rsid w:val="00A66D26"/>
    <w:rsid w:val="00A86824"/>
    <w:rsid w:val="00AC7832"/>
    <w:rsid w:val="00B117C8"/>
    <w:rsid w:val="00B57CAC"/>
    <w:rsid w:val="00BB7D56"/>
    <w:rsid w:val="00BD38CD"/>
    <w:rsid w:val="00D92A8F"/>
    <w:rsid w:val="00DD2A43"/>
    <w:rsid w:val="00DF7785"/>
    <w:rsid w:val="00E170EA"/>
    <w:rsid w:val="00E404AD"/>
    <w:rsid w:val="00F3393C"/>
    <w:rsid w:val="00F46474"/>
    <w:rsid w:val="00FA391C"/>
    <w:rsid w:val="00FD71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74DD7F"/>
  <w15:docId w15:val="{6691F239-3F5A-4672-B086-577B70DDC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Text"/>
    <w:qFormat/>
    <w:rsid w:val="006E087A"/>
    <w:pPr>
      <w:spacing w:after="240" w:line="240" w:lineRule="exact"/>
      <w:ind w:firstLine="360"/>
      <w:jc w:val="both"/>
    </w:pPr>
    <w:rPr>
      <w:rFonts w:ascii="Times New Roman" w:eastAsia="Times" w:hAnsi="Times New Roman" w:cs="Times New Roman"/>
      <w:szCs w:val="20"/>
    </w:rPr>
  </w:style>
  <w:style w:type="paragraph" w:styleId="Heading1">
    <w:name w:val="heading 1"/>
    <w:basedOn w:val="Normal"/>
    <w:next w:val="Normal"/>
    <w:link w:val="Heading1Char"/>
    <w:uiPriority w:val="9"/>
    <w:qFormat/>
    <w:rsid w:val="006E087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6E087A"/>
    <w:pPr>
      <w:keepNext/>
      <w:spacing w:before="480" w:line="240" w:lineRule="auto"/>
      <w:ind w:firstLine="0"/>
      <w:outlineLvl w:val="1"/>
    </w:pPr>
    <w:rPr>
      <w:rFonts w:ascii="Arial" w:eastAsia="Times New Roman" w:hAnsi="Arial"/>
      <w:b/>
      <w:i/>
      <w:sz w:val="24"/>
      <w:szCs w:val="28"/>
    </w:rPr>
  </w:style>
  <w:style w:type="paragraph" w:styleId="Heading4">
    <w:name w:val="heading 4"/>
    <w:basedOn w:val="Normal"/>
    <w:next w:val="Normal"/>
    <w:link w:val="Heading4Char"/>
    <w:qFormat/>
    <w:rsid w:val="006E087A"/>
    <w:pPr>
      <w:keepNext/>
      <w:spacing w:after="120" w:line="240" w:lineRule="auto"/>
      <w:ind w:firstLine="0"/>
      <w:outlineLvl w:val="3"/>
    </w:pPr>
    <w:rPr>
      <w:rFonts w:eastAsia="Times New Roman"/>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E087A"/>
    <w:rPr>
      <w:rFonts w:ascii="Arial" w:eastAsia="Times New Roman" w:hAnsi="Arial" w:cs="Times New Roman"/>
      <w:b/>
      <w:i/>
      <w:sz w:val="24"/>
      <w:szCs w:val="28"/>
    </w:rPr>
  </w:style>
  <w:style w:type="character" w:customStyle="1" w:styleId="Heading4Char">
    <w:name w:val="Heading 4 Char"/>
    <w:basedOn w:val="DefaultParagraphFont"/>
    <w:link w:val="Heading4"/>
    <w:rsid w:val="006E087A"/>
    <w:rPr>
      <w:rFonts w:ascii="Times New Roman" w:eastAsia="Times New Roman" w:hAnsi="Times New Roman" w:cs="Times New Roman"/>
      <w:i/>
    </w:rPr>
  </w:style>
  <w:style w:type="paragraph" w:customStyle="1" w:styleId="TableBodyText">
    <w:name w:val="Table Body Text"/>
    <w:link w:val="TableBodyTextChar"/>
    <w:qFormat/>
    <w:rsid w:val="006E087A"/>
    <w:pPr>
      <w:spacing w:after="0" w:line="240" w:lineRule="auto"/>
    </w:pPr>
    <w:rPr>
      <w:rFonts w:ascii="Arial" w:eastAsia="Times" w:hAnsi="Arial" w:cs="Times New Roman"/>
      <w:sz w:val="16"/>
      <w:szCs w:val="16"/>
    </w:rPr>
  </w:style>
  <w:style w:type="paragraph" w:customStyle="1" w:styleId="CaseTitle">
    <w:name w:val="Case Title"/>
    <w:basedOn w:val="Heading1"/>
    <w:link w:val="CaseTitleChar"/>
    <w:qFormat/>
    <w:rsid w:val="006E087A"/>
    <w:pPr>
      <w:pBdr>
        <w:top w:val="single" w:sz="4" w:space="1" w:color="auto"/>
      </w:pBdr>
      <w:suppressAutoHyphens/>
      <w:spacing w:before="0" w:after="480" w:line="240" w:lineRule="auto"/>
      <w:ind w:firstLine="0"/>
      <w:jc w:val="left"/>
    </w:pPr>
    <w:rPr>
      <w:rFonts w:ascii="Arial" w:eastAsia="Times" w:hAnsi="Arial" w:cs="Times New Roman"/>
      <w:bCs w:val="0"/>
      <w:color w:val="auto"/>
      <w:sz w:val="40"/>
      <w:szCs w:val="40"/>
    </w:rPr>
  </w:style>
  <w:style w:type="paragraph" w:customStyle="1" w:styleId="TableTitle">
    <w:name w:val="Table Title"/>
    <w:basedOn w:val="Heading2"/>
    <w:qFormat/>
    <w:rsid w:val="006E087A"/>
    <w:pPr>
      <w:keepLines/>
      <w:suppressAutoHyphens/>
      <w:spacing w:after="40"/>
      <w:jc w:val="left"/>
    </w:pPr>
    <w:rPr>
      <w:i w:val="0"/>
      <w:sz w:val="22"/>
    </w:rPr>
  </w:style>
  <w:style w:type="table" w:styleId="TableGrid">
    <w:name w:val="Table Grid"/>
    <w:basedOn w:val="TableNormal"/>
    <w:uiPriority w:val="59"/>
    <w:rsid w:val="006E087A"/>
    <w:pPr>
      <w:spacing w:after="0" w:line="240" w:lineRule="auto"/>
    </w:pPr>
    <w:rPr>
      <w:rFonts w:ascii="Helvetica" w:eastAsia="Times" w:hAnsi="Helvetica" w:cs="Times New Roman"/>
      <w:color w:val="000000"/>
      <w:sz w:val="16"/>
      <w:szCs w:val="16"/>
    </w:rPr>
    <w:tblPr>
      <w:tblBorders>
        <w:bottom w:val="single" w:sz="4" w:space="0" w:color="auto"/>
      </w:tblBorders>
      <w:tblCellMar>
        <w:top w:w="29" w:type="dxa"/>
        <w:left w:w="115" w:type="dxa"/>
        <w:bottom w:w="29" w:type="dxa"/>
        <w:right w:w="115" w:type="dxa"/>
      </w:tblCellMar>
    </w:tblPr>
    <w:trPr>
      <w:cantSplit/>
    </w:trPr>
    <w:tcPr>
      <w:tcMar>
        <w:top w:w="29" w:type="dxa"/>
        <w:left w:w="115" w:type="dxa"/>
        <w:bottom w:w="29" w:type="dxa"/>
        <w:right w:w="115" w:type="dxa"/>
      </w:tcMar>
      <w:vAlign w:val="center"/>
    </w:tcPr>
    <w:tblStylePr w:type="firstRow">
      <w:pPr>
        <w:wordWrap/>
        <w:spacing w:beforeLines="0" w:before="0" w:beforeAutospacing="0" w:afterLines="0" w:after="0" w:afterAutospacing="0" w:line="240" w:lineRule="auto"/>
        <w:ind w:leftChars="0" w:left="0" w:rightChars="0" w:right="0" w:firstLineChars="0" w:firstLine="0"/>
        <w:contextualSpacing w:val="0"/>
        <w:jc w:val="left"/>
      </w:pPr>
      <w:rPr>
        <w:rFonts w:ascii="Helvetica" w:hAnsi="Helvetica"/>
        <w:b w:val="0"/>
        <w:i w:val="0"/>
        <w:caps w:val="0"/>
        <w:smallCaps w:val="0"/>
        <w:strike w:val="0"/>
        <w:dstrike w:val="0"/>
        <w:vanish w:val="0"/>
        <w:color w:val="000000"/>
        <w:sz w:val="16"/>
        <w:szCs w:val="16"/>
        <w:u w:val="none"/>
        <w:vertAlign w:val="baseline"/>
      </w:rPr>
      <w:tblPr/>
      <w:trPr>
        <w:cantSplit w:val="0"/>
      </w:trPr>
      <w:tcPr>
        <w:tcBorders>
          <w:top w:val="single" w:sz="4" w:space="0" w:color="auto"/>
          <w:bottom w:val="single" w:sz="4" w:space="0" w:color="auto"/>
        </w:tcBorders>
      </w:tcPr>
    </w:tblStylePr>
    <w:tblStylePr w:type="lastRow">
      <w:rPr>
        <w:rFonts w:ascii="Helvetica" w:hAnsi="Helvetica"/>
        <w:b w:val="0"/>
        <w:i w:val="0"/>
        <w:caps w:val="0"/>
        <w:smallCaps w:val="0"/>
        <w:strike w:val="0"/>
        <w:dstrike w:val="0"/>
        <w:vanish w:val="0"/>
        <w:color w:val="000000"/>
        <w:sz w:val="16"/>
        <w:szCs w:val="16"/>
        <w:vertAlign w:val="baseline"/>
      </w:rPr>
      <w:tblPr/>
      <w:trPr>
        <w:cantSplit w:val="0"/>
      </w:trPr>
    </w:tblStylePr>
    <w:tblStylePr w:type="firstCol">
      <w:pPr>
        <w:wordWrap/>
        <w:ind w:leftChars="0" w:left="-101"/>
      </w:pPr>
    </w:tblStylePr>
    <w:tblStylePr w:type="nwCell">
      <w:pPr>
        <w:wordWrap/>
        <w:ind w:leftChars="0" w:left="-101"/>
      </w:pPr>
    </w:tblStylePr>
  </w:style>
  <w:style w:type="paragraph" w:customStyle="1" w:styleId="FigureTitle">
    <w:name w:val="Figure Title"/>
    <w:basedOn w:val="Heading2"/>
    <w:qFormat/>
    <w:rsid w:val="006E087A"/>
    <w:rPr>
      <w:i w:val="0"/>
      <w:sz w:val="22"/>
    </w:rPr>
  </w:style>
  <w:style w:type="paragraph" w:customStyle="1" w:styleId="BulletPoints">
    <w:name w:val="Bullet Points"/>
    <w:basedOn w:val="Normal"/>
    <w:qFormat/>
    <w:rsid w:val="006E087A"/>
    <w:pPr>
      <w:numPr>
        <w:numId w:val="2"/>
      </w:numPr>
      <w:tabs>
        <w:tab w:val="left" w:pos="720"/>
      </w:tabs>
      <w:spacing w:after="120"/>
      <w:ind w:left="720"/>
    </w:pPr>
  </w:style>
  <w:style w:type="paragraph" w:customStyle="1" w:styleId="Numbering">
    <w:name w:val="Numbering"/>
    <w:basedOn w:val="Normal"/>
    <w:link w:val="NumberingChar"/>
    <w:qFormat/>
    <w:rsid w:val="006E087A"/>
    <w:pPr>
      <w:numPr>
        <w:numId w:val="1"/>
      </w:numPr>
      <w:tabs>
        <w:tab w:val="clear" w:pos="2160"/>
        <w:tab w:val="left" w:pos="360"/>
      </w:tabs>
      <w:ind w:left="360"/>
    </w:pPr>
  </w:style>
  <w:style w:type="paragraph" w:customStyle="1" w:styleId="Numbering2">
    <w:name w:val="Numbering 2"/>
    <w:basedOn w:val="Numbering"/>
    <w:qFormat/>
    <w:rsid w:val="006E087A"/>
    <w:pPr>
      <w:numPr>
        <w:ilvl w:val="1"/>
      </w:numPr>
      <w:tabs>
        <w:tab w:val="clear" w:pos="2880"/>
        <w:tab w:val="num" w:pos="360"/>
        <w:tab w:val="num" w:pos="801"/>
      </w:tabs>
      <w:ind w:left="720"/>
    </w:pPr>
  </w:style>
  <w:style w:type="character" w:customStyle="1" w:styleId="CaseTitleChar">
    <w:name w:val="Case Title Char"/>
    <w:link w:val="CaseTitle"/>
    <w:rsid w:val="006E087A"/>
    <w:rPr>
      <w:rFonts w:ascii="Arial" w:eastAsia="Times" w:hAnsi="Arial" w:cs="Times New Roman"/>
      <w:b/>
      <w:sz w:val="40"/>
      <w:szCs w:val="40"/>
    </w:rPr>
  </w:style>
  <w:style w:type="character" w:customStyle="1" w:styleId="TableBodyTextChar">
    <w:name w:val="Table Body Text Char"/>
    <w:link w:val="TableBodyText"/>
    <w:rsid w:val="006E087A"/>
    <w:rPr>
      <w:rFonts w:ascii="Arial" w:eastAsia="Times" w:hAnsi="Arial" w:cs="Times New Roman"/>
      <w:sz w:val="16"/>
      <w:szCs w:val="16"/>
    </w:rPr>
  </w:style>
  <w:style w:type="character" w:customStyle="1" w:styleId="NumberingChar">
    <w:name w:val="Numbering Char"/>
    <w:link w:val="Numbering"/>
    <w:rsid w:val="006E087A"/>
    <w:rPr>
      <w:rFonts w:ascii="Times New Roman" w:eastAsia="Times" w:hAnsi="Times New Roman" w:cs="Times New Roman"/>
      <w:szCs w:val="20"/>
    </w:rPr>
  </w:style>
  <w:style w:type="character" w:customStyle="1" w:styleId="Heading1Char">
    <w:name w:val="Heading 1 Char"/>
    <w:basedOn w:val="DefaultParagraphFont"/>
    <w:link w:val="Heading1"/>
    <w:uiPriority w:val="9"/>
    <w:rsid w:val="006E087A"/>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DD2A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2A43"/>
    <w:rPr>
      <w:rFonts w:ascii="Times New Roman" w:eastAsia="Times" w:hAnsi="Times New Roman" w:cs="Times New Roman"/>
      <w:szCs w:val="20"/>
    </w:rPr>
  </w:style>
  <w:style w:type="paragraph" w:styleId="Footer">
    <w:name w:val="footer"/>
    <w:basedOn w:val="Normal"/>
    <w:link w:val="FooterChar"/>
    <w:unhideWhenUsed/>
    <w:rsid w:val="00DD2A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2A43"/>
    <w:rPr>
      <w:rFonts w:ascii="Times New Roman" w:eastAsia="Times" w:hAnsi="Times New Roman" w:cs="Times New Roman"/>
      <w:szCs w:val="20"/>
    </w:rPr>
  </w:style>
  <w:style w:type="paragraph" w:styleId="BalloonText">
    <w:name w:val="Balloon Text"/>
    <w:basedOn w:val="Normal"/>
    <w:link w:val="BalloonTextChar"/>
    <w:uiPriority w:val="99"/>
    <w:semiHidden/>
    <w:unhideWhenUsed/>
    <w:rsid w:val="00DD2A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2A43"/>
    <w:rPr>
      <w:rFonts w:ascii="Tahoma" w:eastAsia="Times" w:hAnsi="Tahoma" w:cs="Tahoma"/>
      <w:sz w:val="16"/>
      <w:szCs w:val="16"/>
    </w:rPr>
  </w:style>
  <w:style w:type="character" w:styleId="CommentReference">
    <w:name w:val="annotation reference"/>
    <w:basedOn w:val="DefaultParagraphFont"/>
    <w:uiPriority w:val="99"/>
    <w:semiHidden/>
    <w:unhideWhenUsed/>
    <w:rsid w:val="00FD71DF"/>
    <w:rPr>
      <w:sz w:val="16"/>
      <w:szCs w:val="16"/>
    </w:rPr>
  </w:style>
  <w:style w:type="paragraph" w:styleId="CommentText">
    <w:name w:val="annotation text"/>
    <w:basedOn w:val="Normal"/>
    <w:link w:val="CommentTextChar"/>
    <w:uiPriority w:val="99"/>
    <w:semiHidden/>
    <w:unhideWhenUsed/>
    <w:rsid w:val="00FD71DF"/>
    <w:pPr>
      <w:spacing w:line="240" w:lineRule="auto"/>
    </w:pPr>
    <w:rPr>
      <w:sz w:val="20"/>
    </w:rPr>
  </w:style>
  <w:style w:type="character" w:customStyle="1" w:styleId="CommentTextChar">
    <w:name w:val="Comment Text Char"/>
    <w:basedOn w:val="DefaultParagraphFont"/>
    <w:link w:val="CommentText"/>
    <w:uiPriority w:val="99"/>
    <w:semiHidden/>
    <w:rsid w:val="00FD71DF"/>
    <w:rPr>
      <w:rFonts w:ascii="Times New Roman" w:eastAsia="Times"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D71DF"/>
    <w:rPr>
      <w:b/>
      <w:bCs/>
    </w:rPr>
  </w:style>
  <w:style w:type="character" w:customStyle="1" w:styleId="CommentSubjectChar">
    <w:name w:val="Comment Subject Char"/>
    <w:basedOn w:val="CommentTextChar"/>
    <w:link w:val="CommentSubject"/>
    <w:uiPriority w:val="99"/>
    <w:semiHidden/>
    <w:rsid w:val="00FD71DF"/>
    <w:rPr>
      <w:rFonts w:ascii="Times New Roman" w:eastAsia="Times"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5</Pages>
  <Words>1646</Words>
  <Characters>9383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Teaching Note - Same-Day Delivery</vt:lpstr>
    </vt:vector>
  </TitlesOfParts>
  <Company>Kellogg School of Management</Company>
  <LinksUpToDate>false</LinksUpToDate>
  <CharactersWithSpaces>11007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Teaching Note - Same-Day Delivery</dc:title>
  <dc:subject>Supply Chain Management - 6th Edition</dc:subject>
  <dc:creator>Sunil Chopra/Jay Mabe</dc:creator>
  <cp:lastModifiedBy>Mirano, Ronel</cp:lastModifiedBy>
  <cp:revision>3</cp:revision>
  <dcterms:created xsi:type="dcterms:W3CDTF">2017-10-19T09:59:00Z</dcterms:created>
  <dcterms:modified xsi:type="dcterms:W3CDTF">2017-11-06T07:52:00Z</dcterms:modified>
</cp:coreProperties>
</file>